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885.8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ФТД.04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социально-психологические процессы развития группы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эффективность использования стратегии сотрудничества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понимать особенности поведения выделенных групп людей, с которыми работает/взаимодействует, учитывать их в своей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личных действий и планировать последовательность шагов для достижения заданного результата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навыками эффективного взаимодействия с другими членами команды, в т.ч. при участии в обмене информацией, знаниями и опытом, и презентации результатов работы команды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ФТД.04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Возрастная психология взрослых</w:t>
            </w:r>
          </w:p>
          <w:p>
            <w:pPr>
              <w:jc w:val="center"/>
              <w:spacing w:after="0" w:line="240" w:lineRule="auto"/>
              <w:rPr>
                <w:sz w:val="22"/>
                <w:szCs w:val="22"/>
              </w:rPr>
            </w:pPr>
            <w:r>
              <w:rPr>
                <w:rFonts w:ascii="Times New Roman" w:hAnsi="Times New Roman" w:cs="Times New Roman"/>
                <w:color w:val="#000000"/>
                <w:sz w:val="22"/>
                <w:szCs w:val="22"/>
              </w:rPr>
              <w:t> Клиническая психология детей и подростков</w:t>
            </w:r>
          </w:p>
          <w:p>
            <w:pPr>
              <w:jc w:val="center"/>
              <w:spacing w:after="0" w:line="240" w:lineRule="auto"/>
              <w:rPr>
                <w:sz w:val="22"/>
                <w:szCs w:val="22"/>
              </w:rPr>
            </w:pPr>
            <w:r>
              <w:rPr>
                <w:rFonts w:ascii="Times New Roman" w:hAnsi="Times New Roman" w:cs="Times New Roman"/>
                <w:color w:val="#000000"/>
                <w:sz w:val="22"/>
                <w:szCs w:val="22"/>
              </w:rPr>
              <w:t> История психологии и психологии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683.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007.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рисками в работе с волонтерами и волонтерскими организациями.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16.7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00.0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(ПО)(23)_plx_Организация добровольческой (волонтерской) деятельности и взаимодействие с социально ориентированными НКО</dc:title>
  <dc:creator>FastReport.NET</dc:creator>
</cp:coreProperties>
</file>